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AD26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  <w:lang w:val="en-US" w:eastAsia="zh-CN"/>
        </w:rPr>
        <w:t>⑨</w:t>
      </w:r>
    </w:p>
    <w:p w14:paraId="54B57F2B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110A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51DC71E8">
            <w:pPr>
              <w:pStyle w:val="18"/>
              <w:ind w:firstLine="0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榜单名称：氢内燃发电技术中试及应用项目应用与产业化</w:t>
            </w:r>
          </w:p>
        </w:tc>
      </w:tr>
      <w:tr w14:paraId="66C3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2256C7E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50BFFD3B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氢内燃机技术已经成熟并产业化，且在发电领域优势显著：</w:t>
            </w:r>
          </w:p>
          <w:p w14:paraId="7062AA01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1.全球唯一可批量化供应的氢内燃发电设备，领先国际同类产品5-10年；</w:t>
            </w:r>
          </w:p>
          <w:p w14:paraId="1420E5F2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2.燃烧物为氢，排放物是水，少量氮氧化合物可化解，无 PM2.5；</w:t>
            </w:r>
          </w:p>
          <w:p w14:paraId="4D2238E0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3.用90%以上纯度的粗氢即可发电，每公斤氢发电12-13度，每度氢电成本低于1元；</w:t>
            </w:r>
          </w:p>
          <w:p w14:paraId="34ECB98D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4.迭代原有柴油机部件超过60%，创新核心技术20项，但仍沿用原供应链体系；</w:t>
            </w:r>
          </w:p>
          <w:p w14:paraId="78971755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5.目前4台套600kW机组已在北京经济技术开发区开展应用示范，形成局网供电态势；</w:t>
            </w:r>
          </w:p>
          <w:p w14:paraId="28309985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6.技术安全水平高，设计多重保护机制，用智能故障诊断系统保障安全；</w:t>
            </w:r>
          </w:p>
          <w:p w14:paraId="6B7E48FF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7.产品兼容性强，可与静态储能装置深度耦合，满足100kW-4MW电力负荷需求。</w:t>
            </w:r>
          </w:p>
        </w:tc>
      </w:tr>
      <w:tr w14:paraId="16C9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FACF4C4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5936E6B5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1.各型电源车：满足交通枢纽、重要矿山医院、大中型商场企业等电力供应；</w:t>
            </w:r>
          </w:p>
          <w:p w14:paraId="2A3D8FFD">
            <w:pPr>
              <w:tabs>
                <w:tab w:val="left" w:pos="1794"/>
              </w:tabs>
              <w:spacing w:after="0" w:line="240" w:lineRule="auto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2.应急电源：满足如机场通信系统、计算机系统、空管系统等对电力连续性要求极高的设备，实现无感式供电，保证设备不间断运行。</w:t>
            </w:r>
          </w:p>
        </w:tc>
      </w:tr>
      <w:tr w14:paraId="645D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4E758EF9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0EFAB848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1.建立高效清洁的氢内燃发电产业链，突破氢内燃机、氢内燃发电机、分布式氢安全监测预警等关键技术，满足大中型企业、居民区及突发事件处置应急供电需求，补齐四川省氢内燃机小型化技术短板；</w:t>
            </w:r>
          </w:p>
          <w:p w14:paraId="437C631F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2.同比柴油发电机每年减少碳排放550吨/台套，新增社会就业1200人，实现氢内燃机产品国产化；</w:t>
            </w:r>
          </w:p>
          <w:p w14:paraId="15F3623F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3.建立健全氢能先进技术省级及以上学科平台、重点实验室、工程技术中心，形成全国领先的科教融合发展高地；</w:t>
            </w:r>
          </w:p>
          <w:p w14:paraId="350CD764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4.电能质量满足民航机场、医院、关键基础设施等应急电力设备的电能质量要求，供电时间不少于8h；</w:t>
            </w:r>
          </w:p>
          <w:p w14:paraId="48AFDC43">
            <w:pPr>
              <w:tabs>
                <w:tab w:val="left" w:pos="1794"/>
              </w:tabs>
              <w:spacing w:after="0" w:line="240" w:lineRule="auto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5.响应速度满足空管重要负荷＜10ms，助航灯光负荷＜1s，建筑消防、应急照明负荷＜2s，航站楼重要负荷＜30s；</w:t>
            </w:r>
          </w:p>
          <w:p w14:paraId="1DA1D461">
            <w:pPr>
              <w:tabs>
                <w:tab w:val="left" w:pos="1794"/>
              </w:tabs>
              <w:spacing w:after="0" w:line="240" w:lineRule="auto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6.输出功率为150kVA，三相四线，400V/50HZ。</w:t>
            </w:r>
          </w:p>
        </w:tc>
      </w:tr>
      <w:tr w14:paraId="4C20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75" w:type="dxa"/>
            <w:vAlign w:val="center"/>
          </w:tcPr>
          <w:p w14:paraId="684C20DE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4B95C7DA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6000万元人民币</w:t>
            </w:r>
          </w:p>
        </w:tc>
      </w:tr>
      <w:tr w14:paraId="644B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24AE1A5A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4635C563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1.项目合作前产生的知识产权归各方所有；</w:t>
            </w:r>
          </w:p>
          <w:p w14:paraId="17E246E0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2.项目合作过程中产生的知识产权归各方共有；</w:t>
            </w:r>
          </w:p>
          <w:p w14:paraId="5EC5C608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3.项目合作过程中由一方独立创造的知识产权，归创造方所有。</w:t>
            </w:r>
          </w:p>
        </w:tc>
      </w:tr>
      <w:tr w14:paraId="1F47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2D28D00D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11C23DC5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方正小标宋_GBK" w:hAnsi="方正小标宋_GBK" w:eastAsia="仿宋_GB2312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1.项目时间不超过3年；</w:t>
            </w:r>
          </w:p>
          <w:p w14:paraId="63C86723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2.单位注册资金不低于3000万；</w:t>
            </w:r>
          </w:p>
          <w:p w14:paraId="1A2988E0">
            <w:pPr>
              <w:pStyle w:val="18"/>
              <w:spacing w:before="0" w:beforeAutospacing="0" w:after="0" w:afterAutospacing="0" w:line="240" w:lineRule="auto"/>
              <w:ind w:left="269" w:hanging="269" w:hangingChars="99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3.单位近3年每年在机场新能源设备领域合同额不低于5000万；</w:t>
            </w:r>
          </w:p>
          <w:p w14:paraId="4674C713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4.国家高新技术企业；</w:t>
            </w:r>
          </w:p>
          <w:p w14:paraId="09060B9B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5.四川省专精特新企业；</w:t>
            </w:r>
          </w:p>
          <w:p w14:paraId="47F7FBC5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6.至少拥有5名省级人才或专家；</w:t>
            </w:r>
          </w:p>
          <w:p w14:paraId="0F8292D4">
            <w:pPr>
              <w:pStyle w:val="18"/>
              <w:spacing w:before="0" w:beforeAutospacing="0" w:after="0" w:afterAutospacing="0"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7.与发榜单位形成紧密的合作关系，与航空科研院所形成科教合作关系，新能源动力电池系统在全球范围内均有示范应用案例。</w:t>
            </w:r>
          </w:p>
        </w:tc>
      </w:tr>
      <w:tr w14:paraId="7D17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84B8C15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7C0F96C3">
            <w:pPr>
              <w:pStyle w:val="18"/>
              <w:spacing w:before="0" w:beforeAutospacing="0" w:after="0" w:afterAutospacing="0"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（中关村道依茨氢能科技(北京)有限公司）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联系人：陈雷，中关村道依茨氢能科技(北京)有限公司副总经理联系方式：17741349595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邮箱：lei.chen@detuz.com</w:t>
            </w:r>
          </w:p>
        </w:tc>
      </w:tr>
    </w:tbl>
    <w:p w14:paraId="1234CE67">
      <w:pPr>
        <w:pStyle w:val="18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37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CF14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CF14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6183C"/>
    <w:rsid w:val="00091345"/>
    <w:rsid w:val="001113BD"/>
    <w:rsid w:val="00122A93"/>
    <w:rsid w:val="00131B36"/>
    <w:rsid w:val="001448C1"/>
    <w:rsid w:val="00145FA2"/>
    <w:rsid w:val="00160981"/>
    <w:rsid w:val="001C048E"/>
    <w:rsid w:val="002756E9"/>
    <w:rsid w:val="00293F31"/>
    <w:rsid w:val="002E3181"/>
    <w:rsid w:val="00324B8A"/>
    <w:rsid w:val="00371D0F"/>
    <w:rsid w:val="00382BCB"/>
    <w:rsid w:val="003B561F"/>
    <w:rsid w:val="003E0617"/>
    <w:rsid w:val="003F03D6"/>
    <w:rsid w:val="003F610F"/>
    <w:rsid w:val="004100D2"/>
    <w:rsid w:val="0043798C"/>
    <w:rsid w:val="0044589B"/>
    <w:rsid w:val="00447B6E"/>
    <w:rsid w:val="0045005B"/>
    <w:rsid w:val="00453D18"/>
    <w:rsid w:val="00467454"/>
    <w:rsid w:val="00497D34"/>
    <w:rsid w:val="004C3CCE"/>
    <w:rsid w:val="004E0863"/>
    <w:rsid w:val="00503D6D"/>
    <w:rsid w:val="00550507"/>
    <w:rsid w:val="00550679"/>
    <w:rsid w:val="005946CD"/>
    <w:rsid w:val="005D5016"/>
    <w:rsid w:val="005E2AC4"/>
    <w:rsid w:val="0061638B"/>
    <w:rsid w:val="00620993"/>
    <w:rsid w:val="006923A0"/>
    <w:rsid w:val="006B68BB"/>
    <w:rsid w:val="00704863"/>
    <w:rsid w:val="007317D4"/>
    <w:rsid w:val="00777F55"/>
    <w:rsid w:val="007A598E"/>
    <w:rsid w:val="007C0F2D"/>
    <w:rsid w:val="007D6412"/>
    <w:rsid w:val="007E4979"/>
    <w:rsid w:val="00805CE2"/>
    <w:rsid w:val="00807FF9"/>
    <w:rsid w:val="00824069"/>
    <w:rsid w:val="0083050D"/>
    <w:rsid w:val="008313D8"/>
    <w:rsid w:val="0084107A"/>
    <w:rsid w:val="0084673C"/>
    <w:rsid w:val="00866914"/>
    <w:rsid w:val="0087052A"/>
    <w:rsid w:val="00885B23"/>
    <w:rsid w:val="008942B3"/>
    <w:rsid w:val="00895F55"/>
    <w:rsid w:val="009120AB"/>
    <w:rsid w:val="00923640"/>
    <w:rsid w:val="00941977"/>
    <w:rsid w:val="00995844"/>
    <w:rsid w:val="00A07321"/>
    <w:rsid w:val="00A33063"/>
    <w:rsid w:val="00A632A6"/>
    <w:rsid w:val="00A73DA4"/>
    <w:rsid w:val="00A849C7"/>
    <w:rsid w:val="00AC07A4"/>
    <w:rsid w:val="00AC396A"/>
    <w:rsid w:val="00B06B90"/>
    <w:rsid w:val="00B439A4"/>
    <w:rsid w:val="00B70BCC"/>
    <w:rsid w:val="00BD4D52"/>
    <w:rsid w:val="00BE74EE"/>
    <w:rsid w:val="00C34259"/>
    <w:rsid w:val="00C475DE"/>
    <w:rsid w:val="00C742BA"/>
    <w:rsid w:val="00C90576"/>
    <w:rsid w:val="00C9700F"/>
    <w:rsid w:val="00CD2B9C"/>
    <w:rsid w:val="00CE0759"/>
    <w:rsid w:val="00CF7BDE"/>
    <w:rsid w:val="00D009DF"/>
    <w:rsid w:val="00D1405D"/>
    <w:rsid w:val="00D22096"/>
    <w:rsid w:val="00D260A6"/>
    <w:rsid w:val="00D77B8E"/>
    <w:rsid w:val="00DA321C"/>
    <w:rsid w:val="00DF0A18"/>
    <w:rsid w:val="00E5249D"/>
    <w:rsid w:val="00E65D81"/>
    <w:rsid w:val="00E75F0F"/>
    <w:rsid w:val="00E821F5"/>
    <w:rsid w:val="00E93D64"/>
    <w:rsid w:val="00EE614C"/>
    <w:rsid w:val="00EE7137"/>
    <w:rsid w:val="00EF395E"/>
    <w:rsid w:val="00EF463C"/>
    <w:rsid w:val="00F0476B"/>
    <w:rsid w:val="00F04BE2"/>
    <w:rsid w:val="00F221F6"/>
    <w:rsid w:val="00F25EFD"/>
    <w:rsid w:val="00F35512"/>
    <w:rsid w:val="00F35F05"/>
    <w:rsid w:val="00F612A8"/>
    <w:rsid w:val="00F6468F"/>
    <w:rsid w:val="00F9064B"/>
    <w:rsid w:val="00FE7F68"/>
    <w:rsid w:val="011078C7"/>
    <w:rsid w:val="012670EA"/>
    <w:rsid w:val="01527E42"/>
    <w:rsid w:val="015974C0"/>
    <w:rsid w:val="01687703"/>
    <w:rsid w:val="01771D5B"/>
    <w:rsid w:val="0196601E"/>
    <w:rsid w:val="01CF7782"/>
    <w:rsid w:val="024B0A5C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1B7E52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87874E2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9E4162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9C3257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1112</Characters>
  <Lines>8</Lines>
  <Paragraphs>2</Paragraphs>
  <TotalTime>11</TotalTime>
  <ScaleCrop>false</ScaleCrop>
  <LinksUpToDate>false</LinksUpToDate>
  <CharactersWithSpaces>1113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2025-01-23T15:03:00Z</dcterms:created>
  <dc:creator>user</dc:creator>
  <cp:lastModifiedBy>奔跑的牛肉干儿</cp:lastModifiedBy>
  <dcterms:modified xsi:type="dcterms:W3CDTF">2025-02-06T04:11:51Z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00C3DB7913E748F29E590402DDA6048A_13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