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5DE99">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eastAsia="zh-CN"/>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方正小标宋_GBK" w:hAnsi="方正小标宋_GBK" w:eastAsia="方正小标宋_GBK" w:cs="方正小标宋_GBK"/>
          <w:b/>
          <w:bCs/>
          <w:spacing w:val="16"/>
          <w:sz w:val="44"/>
          <w:szCs w:val="44"/>
          <w:lang w:val="en-US" w:eastAsia="zh-CN"/>
        </w:rPr>
        <w:t>⑦</w:t>
      </w:r>
    </w:p>
    <w:p w14:paraId="1D099DC1">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46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796"/>
      </w:tblGrid>
      <w:tr w14:paraId="2F00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60" w:type="dxa"/>
            <w:gridSpan w:val="2"/>
            <w:vAlign w:val="center"/>
          </w:tcPr>
          <w:p w14:paraId="14F5A67E">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w:t>
            </w:r>
            <w:r>
              <w:rPr>
                <w:rFonts w:hint="eastAsia" w:ascii="仿宋_GB2312" w:hAnsi="仿宋" w:eastAsia="仿宋_GB2312" w:cs="仿宋"/>
                <w:b/>
                <w:bCs/>
                <w:snapToGrid w:val="0"/>
                <w:color w:val="000000"/>
                <w:spacing w:val="-4"/>
                <w:sz w:val="24"/>
                <w:szCs w:val="24"/>
              </w:rPr>
              <w:t>高端装备及其基础设施防覆冰涂料关键技术及产品项目应用与产业化</w:t>
            </w:r>
          </w:p>
        </w:tc>
      </w:tr>
      <w:tr w14:paraId="0A7C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5422D17E">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796" w:type="dxa"/>
            <w:vAlign w:val="center"/>
          </w:tcPr>
          <w:p w14:paraId="22B8114B">
            <w:pPr>
              <w:spacing w:before="100" w:beforeAutospacing="1" w:after="100" w:afterAutospacing="1" w:line="240" w:lineRule="auto"/>
              <w:ind w:firstLine="480" w:firstLineChars="200"/>
              <w:rPr>
                <w:rFonts w:hint="eastAsia" w:eastAsia="仿宋"/>
                <w:bCs/>
                <w:sz w:val="24"/>
                <w:szCs w:val="24"/>
              </w:rPr>
            </w:pPr>
            <w:r>
              <w:rPr>
                <w:rFonts w:ascii="华文仿宋" w:hAnsi="华文仿宋" w:eastAsia="华文仿宋" w:cs="华文仿宋"/>
                <w:bCs/>
                <w:sz w:val="24"/>
              </w:rPr>
              <w:t>高端装备制造业作为强国战略实施的基础产业，</w:t>
            </w:r>
            <w:r>
              <w:rPr>
                <w:rFonts w:hint="eastAsia" w:ascii="华文仿宋" w:hAnsi="华文仿宋" w:eastAsia="华文仿宋" w:cs="华文仿宋"/>
                <w:bCs/>
                <w:sz w:val="24"/>
              </w:rPr>
              <w:t>然而，</w:t>
            </w:r>
            <w:r>
              <w:rPr>
                <w:rFonts w:ascii="华文仿宋" w:hAnsi="华文仿宋" w:eastAsia="华文仿宋" w:cs="华文仿宋"/>
                <w:bCs/>
                <w:sz w:val="24"/>
              </w:rPr>
              <w:t>随着全球极端天气频繁，</w:t>
            </w:r>
            <w:r>
              <w:rPr>
                <w:rFonts w:hint="eastAsia" w:ascii="华文仿宋" w:hAnsi="华文仿宋" w:eastAsia="华文仿宋" w:cs="华文仿宋"/>
                <w:bCs/>
                <w:sz w:val="24"/>
              </w:rPr>
              <w:t>高端</w:t>
            </w:r>
            <w:r>
              <w:rPr>
                <w:rFonts w:ascii="华文仿宋" w:hAnsi="华文仿宋" w:eastAsia="华文仿宋" w:cs="华文仿宋"/>
                <w:bCs/>
                <w:sz w:val="24"/>
              </w:rPr>
              <w:t>装备及其基础设施因极端天气而表面覆冰导致的问题日益突出。</w:t>
            </w:r>
            <w:r>
              <w:rPr>
                <w:rFonts w:hint="eastAsia" w:ascii="华文仿宋" w:hAnsi="华文仿宋" w:eastAsia="华文仿宋" w:cs="华文仿宋"/>
                <w:bCs/>
                <w:sz w:val="24"/>
              </w:rPr>
              <w:t>因此，科研团队</w:t>
            </w:r>
            <w:r>
              <w:rPr>
                <w:rFonts w:ascii="华文仿宋" w:hAnsi="华文仿宋" w:eastAsia="华文仿宋" w:cs="华文仿宋"/>
                <w:bCs/>
                <w:sz w:val="24"/>
              </w:rPr>
              <w:t>基于冰晶形成机制，通过表面微凸体结构设计和光热组分调控，设计Cassie-Baxter超疏水功能表面实现被动防结冰，再结合金属-半导体异质结的光热效应抑制冰晶成核、降低冰黏附强度而实现主动防冰，从而构建多功能一体化复合结构</w:t>
            </w:r>
            <w:r>
              <w:rPr>
                <w:rFonts w:hint="eastAsia" w:ascii="华文仿宋" w:hAnsi="华文仿宋" w:eastAsia="华文仿宋" w:cs="华文仿宋"/>
                <w:bCs/>
                <w:sz w:val="24"/>
              </w:rPr>
              <w:t>，实现了</w:t>
            </w:r>
            <w:r>
              <w:rPr>
                <w:rFonts w:ascii="华文仿宋" w:hAnsi="华文仿宋" w:eastAsia="华文仿宋" w:cs="华文仿宋"/>
                <w:bCs/>
                <w:sz w:val="24"/>
              </w:rPr>
              <w:t>光热效应和超疏水</w:t>
            </w:r>
            <w:r>
              <w:rPr>
                <w:rFonts w:hint="eastAsia" w:ascii="华文仿宋" w:hAnsi="华文仿宋" w:eastAsia="华文仿宋" w:cs="华文仿宋"/>
                <w:bCs/>
                <w:sz w:val="24"/>
              </w:rPr>
              <w:t>效应</w:t>
            </w:r>
            <w:r>
              <w:rPr>
                <w:rFonts w:ascii="华文仿宋" w:hAnsi="华文仿宋" w:eastAsia="华文仿宋" w:cs="华文仿宋"/>
                <w:bCs/>
                <w:sz w:val="24"/>
              </w:rPr>
              <w:t>对</w:t>
            </w:r>
            <w:r>
              <w:rPr>
                <w:rFonts w:hint="eastAsia" w:ascii="华文仿宋" w:hAnsi="华文仿宋" w:eastAsia="华文仿宋" w:cs="华文仿宋"/>
                <w:bCs/>
                <w:sz w:val="24"/>
              </w:rPr>
              <w:t>装备及其关键部件防覆</w:t>
            </w:r>
            <w:r>
              <w:rPr>
                <w:rFonts w:ascii="华文仿宋" w:hAnsi="华文仿宋" w:eastAsia="华文仿宋" w:cs="华文仿宋"/>
                <w:bCs/>
                <w:sz w:val="24"/>
              </w:rPr>
              <w:t>冰的协同</w:t>
            </w:r>
            <w:r>
              <w:rPr>
                <w:rFonts w:hint="eastAsia" w:ascii="华文仿宋" w:hAnsi="华文仿宋" w:eastAsia="华文仿宋" w:cs="华文仿宋"/>
                <w:bCs/>
                <w:sz w:val="24"/>
              </w:rPr>
              <w:t>作用。相关研究成果以第一起草人发布四川省地方标准1项、授权国家发明专利8项，其中6项核心发明专利；形成防覆冰涂料技术工艺3套。截至2024年12月，该系列成果已经在轨道交通、风电叶片和桥梁吊索等获得示范应用，成熟度达到7级以上。相关成果也获得国家一级学会（中国腐蚀与防护学会）成果鉴定：</w:t>
            </w:r>
            <w:r>
              <w:rPr>
                <w:rFonts w:eastAsia="仿宋"/>
                <w:bCs/>
                <w:sz w:val="24"/>
                <w:szCs w:val="24"/>
              </w:rPr>
              <w:t>项目成果整体达到国际先进水平，其中，Ti</w:t>
            </w:r>
            <w:r>
              <w:rPr>
                <w:rFonts w:eastAsia="仿宋"/>
                <w:bCs/>
                <w:sz w:val="24"/>
                <w:szCs w:val="24"/>
                <w:vertAlign w:val="subscript"/>
              </w:rPr>
              <w:t>3</w:t>
            </w:r>
            <w:r>
              <w:rPr>
                <w:rFonts w:eastAsia="仿宋"/>
                <w:bCs/>
                <w:sz w:val="24"/>
                <w:szCs w:val="24"/>
              </w:rPr>
              <w:t>C</w:t>
            </w:r>
            <w:r>
              <w:rPr>
                <w:rFonts w:eastAsia="仿宋"/>
                <w:bCs/>
                <w:sz w:val="24"/>
                <w:szCs w:val="24"/>
                <w:vertAlign w:val="subscript"/>
              </w:rPr>
              <w:t>2</w:t>
            </w:r>
            <w:r>
              <w:rPr>
                <w:rFonts w:eastAsia="仿宋"/>
                <w:bCs/>
                <w:sz w:val="24"/>
                <w:szCs w:val="24"/>
              </w:rPr>
              <w:t>T</w:t>
            </w:r>
            <w:r>
              <w:rPr>
                <w:rFonts w:eastAsia="仿宋"/>
                <w:bCs/>
                <w:sz w:val="24"/>
                <w:szCs w:val="24"/>
                <w:vertAlign w:val="subscript"/>
              </w:rPr>
              <w:t>x</w:t>
            </w:r>
            <w:r>
              <w:rPr>
                <w:rFonts w:eastAsia="仿宋"/>
                <w:bCs/>
                <w:sz w:val="24"/>
                <w:szCs w:val="24"/>
              </w:rPr>
              <w:t xml:space="preserve"> MXene 功能填料增强树脂涂层的摩擦学和防覆冰研究</w:t>
            </w:r>
            <w:r>
              <w:rPr>
                <w:rFonts w:hint="eastAsia" w:ascii="华文仿宋" w:hAnsi="华文仿宋" w:eastAsia="华文仿宋" w:cs="华文仿宋"/>
                <w:bCs/>
                <w:sz w:val="24"/>
              </w:rPr>
              <w:t>达到国际领先；并获得中国腐蚀与防</w:t>
            </w:r>
            <w:r>
              <w:rPr>
                <w:rFonts w:hint="eastAsia" w:eastAsia="仿宋"/>
                <w:bCs/>
                <w:sz w:val="24"/>
                <w:szCs w:val="24"/>
              </w:rPr>
              <w:t>护学会自然科学一等奖。</w:t>
            </w:r>
          </w:p>
        </w:tc>
      </w:tr>
      <w:tr w14:paraId="0FD9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59F6EC90">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796" w:type="dxa"/>
            <w:vAlign w:val="center"/>
          </w:tcPr>
          <w:p w14:paraId="17EC95DB">
            <w:pPr>
              <w:tabs>
                <w:tab w:val="left" w:pos="1794"/>
              </w:tabs>
              <w:spacing w:before="100" w:beforeAutospacing="1" w:after="100" w:afterAutospacing="1" w:line="240" w:lineRule="auto"/>
              <w:ind w:left="-19" w:leftChars="-6" w:firstLine="499" w:firstLineChars="208"/>
              <w:jc w:val="left"/>
              <w:rPr>
                <w:rFonts w:hint="eastAsia" w:ascii="华文仿宋" w:hAnsi="华文仿宋" w:eastAsia="华文仿宋" w:cs="华文仿宋"/>
                <w:bCs/>
                <w:sz w:val="24"/>
              </w:rPr>
            </w:pPr>
            <w:r>
              <w:rPr>
                <w:rFonts w:hint="eastAsia" w:ascii="华文仿宋" w:hAnsi="华文仿宋" w:eastAsia="华文仿宋" w:cs="华文仿宋"/>
                <w:bCs/>
                <w:sz w:val="24"/>
              </w:rPr>
              <w:t>本项目成果针对高端装备覆冰问题导致的飞行失稳、弓网受流不足、机械耗能过高等严重影响运行安全和高功效输出的问题，故本项目转化内容针对高端装备及其关键部件防结冰的迫切需求，设计并构建Cassie-Baxter超疏水被动防结冰功能表面，结合金属-半导体异质结的光热效应抑制冰晶成核、降低冰黏附强度，实现主动防冰，同时利用光热驱动高分子链段运动，使超疏水功能表面兼具自修复性能，保障了其在机械化学耦合作用下的防冰性能。目前，已解析了光热异质结构、超疏水微纳结构与防冰性能间的构性关系，提出功能表面耐多重环境作用耦合的设计准则，建立涂层防结冰行为模型，开发了具有长效防冰作用的多相多尺度微结构有机涂层产品，并进行外场试验验证，揭示光热效应和超疏水作用对飞机防冰的协同作用机制。</w:t>
            </w:r>
          </w:p>
          <w:p w14:paraId="5E44C8D5">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项目成果已经在轨道交通标准动车组、风电叶片和飞机尾翼等关键装备及其结构件获得示范应用，反馈效果优良。</w:t>
            </w:r>
          </w:p>
        </w:tc>
      </w:tr>
      <w:tr w14:paraId="744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23680D35">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796" w:type="dxa"/>
            <w:vAlign w:val="center"/>
          </w:tcPr>
          <w:p w14:paraId="56148088">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防覆冰涂料关键</w:t>
            </w:r>
            <w:r>
              <w:rPr>
                <w:rFonts w:ascii="华文仿宋" w:hAnsi="华文仿宋" w:eastAsia="华文仿宋" w:cs="华文仿宋"/>
                <w:bCs/>
                <w:sz w:val="24"/>
              </w:rPr>
              <w:t>性能指标：</w:t>
            </w:r>
          </w:p>
          <w:p w14:paraId="6B93C895">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ascii="华文仿宋" w:hAnsi="华文仿宋" w:eastAsia="华文仿宋" w:cs="华文仿宋"/>
                <w:bCs/>
                <w:sz w:val="24"/>
              </w:rPr>
              <w:t>①涂层的疏水性：与水的接触角≥150°，滚动角≤</w:t>
            </w:r>
            <w:r>
              <w:rPr>
                <w:rFonts w:hint="eastAsia" w:ascii="华文仿宋" w:hAnsi="华文仿宋" w:eastAsia="华文仿宋" w:cs="华文仿宋"/>
                <w:bCs/>
                <w:sz w:val="24"/>
              </w:rPr>
              <w:t>5</w:t>
            </w:r>
            <w:r>
              <w:rPr>
                <w:rFonts w:ascii="华文仿宋" w:hAnsi="华文仿宋" w:eastAsia="华文仿宋" w:cs="华文仿宋"/>
                <w:bCs/>
                <w:sz w:val="24"/>
              </w:rPr>
              <w:t>°；</w:t>
            </w:r>
          </w:p>
          <w:p w14:paraId="1F82DA8A">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ascii="华文仿宋" w:hAnsi="华文仿宋" w:eastAsia="华文仿宋" w:cs="华文仿宋"/>
                <w:bCs/>
                <w:sz w:val="24"/>
              </w:rPr>
              <w:t>②涂层与基体结合力</w:t>
            </w:r>
            <w:r>
              <w:rPr>
                <w:rFonts w:hint="eastAsia" w:ascii="华文仿宋" w:hAnsi="华文仿宋" w:eastAsia="华文仿宋" w:cs="华文仿宋"/>
                <w:bCs/>
                <w:sz w:val="24"/>
              </w:rPr>
              <w:t>＞</w:t>
            </w:r>
            <w:r>
              <w:rPr>
                <w:rFonts w:ascii="华文仿宋" w:hAnsi="华文仿宋" w:eastAsia="华文仿宋" w:cs="华文仿宋"/>
                <w:bCs/>
                <w:sz w:val="24"/>
              </w:rPr>
              <w:t>5</w:t>
            </w:r>
            <w:r>
              <w:rPr>
                <w:rFonts w:hint="eastAsia" w:ascii="华文仿宋" w:hAnsi="华文仿宋" w:eastAsia="华文仿宋" w:cs="华文仿宋"/>
                <w:bCs/>
                <w:sz w:val="24"/>
              </w:rPr>
              <w:t>.0</w:t>
            </w:r>
            <w:r>
              <w:rPr>
                <w:rFonts w:ascii="华文仿宋" w:hAnsi="华文仿宋" w:eastAsia="华文仿宋" w:cs="华文仿宋"/>
                <w:bCs/>
                <w:sz w:val="24"/>
              </w:rPr>
              <w:t xml:space="preserve"> MPa、涂层与冰结合力</w:t>
            </w:r>
            <w:r>
              <w:rPr>
                <w:rFonts w:hint="eastAsia" w:ascii="华文仿宋" w:hAnsi="华文仿宋" w:eastAsia="华文仿宋" w:cs="华文仿宋"/>
                <w:bCs/>
                <w:sz w:val="24"/>
              </w:rPr>
              <w:t>＜5.0</w:t>
            </w:r>
            <w:r>
              <w:rPr>
                <w:rFonts w:ascii="华文仿宋" w:hAnsi="华文仿宋" w:eastAsia="华文仿宋" w:cs="华文仿宋"/>
                <w:bCs/>
                <w:sz w:val="24"/>
              </w:rPr>
              <w:t xml:space="preserve"> KPa</w:t>
            </w:r>
          </w:p>
          <w:p w14:paraId="7A06B4E0">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ascii="华文仿宋" w:hAnsi="华文仿宋" w:eastAsia="华文仿宋" w:cs="华文仿宋"/>
                <w:bCs/>
                <w:sz w:val="24"/>
              </w:rPr>
              <w:t>③涂层的防结冰性能：在-20℃条件下，涂层的延缓结冰时间≥1000s；</w:t>
            </w:r>
          </w:p>
          <w:p w14:paraId="6E55DFEC">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ascii="华文仿宋" w:hAnsi="华文仿宋" w:eastAsia="华文仿宋" w:cs="华文仿宋"/>
                <w:bCs/>
                <w:sz w:val="24"/>
              </w:rPr>
              <w:t>④涂层表面的盐雾腐蚀破坏等级≤E；</w:t>
            </w:r>
          </w:p>
          <w:p w14:paraId="6F7C45F6">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ascii="华文仿宋" w:hAnsi="华文仿宋" w:eastAsia="华文仿宋" w:cs="华文仿宋"/>
                <w:bCs/>
                <w:sz w:val="24"/>
              </w:rPr>
              <w:t>⑤涂层表面光热温度≥40℃；</w:t>
            </w:r>
          </w:p>
          <w:p w14:paraId="0D94D77F">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ascii="华文仿宋" w:hAnsi="华文仿宋" w:eastAsia="华文仿宋" w:cs="华文仿宋"/>
                <w:bCs/>
                <w:sz w:val="24"/>
              </w:rPr>
              <w:t>⑥涂层附着力划格法等级≥1级</w:t>
            </w:r>
            <w:r>
              <w:rPr>
                <w:rFonts w:hint="eastAsia" w:ascii="华文仿宋" w:hAnsi="华文仿宋" w:eastAsia="华文仿宋" w:cs="华文仿宋"/>
                <w:bCs/>
                <w:sz w:val="24"/>
              </w:rPr>
              <w:t>、</w:t>
            </w:r>
            <w:r>
              <w:rPr>
                <w:rFonts w:ascii="华文仿宋" w:hAnsi="华文仿宋" w:eastAsia="华文仿宋" w:cs="华文仿宋"/>
                <w:bCs/>
                <w:sz w:val="24"/>
              </w:rPr>
              <w:t>⑥涂层低温柔韧性≤3mm</w:t>
            </w:r>
            <w:r>
              <w:rPr>
                <w:rFonts w:hint="eastAsia" w:ascii="华文仿宋" w:hAnsi="华文仿宋" w:eastAsia="华文仿宋" w:cs="华文仿宋"/>
                <w:bCs/>
                <w:sz w:val="24"/>
              </w:rPr>
              <w:t>。</w:t>
            </w:r>
          </w:p>
          <w:p w14:paraId="221BD09F">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人才培养：培养博士生4名、硕士生6名，争取国家级青年人才1名；</w:t>
            </w:r>
          </w:p>
          <w:p w14:paraId="201F210E">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专利论文：申请国家发明专利5项、发表SCI论文10篇以上；</w:t>
            </w:r>
          </w:p>
          <w:p w14:paraId="6543DFE3">
            <w:pPr>
              <w:tabs>
                <w:tab w:val="left" w:pos="1794"/>
              </w:tabs>
              <w:spacing w:before="100" w:beforeAutospacing="1" w:after="100" w:afterAutospacing="1" w:line="240" w:lineRule="auto"/>
              <w:ind w:firstLine="480" w:firstLineChars="200"/>
              <w:jc w:val="left"/>
              <w:rPr>
                <w:rFonts w:hint="eastAsia" w:ascii="华文仿宋" w:hAnsi="华文仿宋" w:eastAsia="华文仿宋" w:cs="华文仿宋"/>
                <w:bCs/>
                <w:sz w:val="24"/>
              </w:rPr>
            </w:pPr>
            <w:r>
              <w:rPr>
                <w:rFonts w:hint="eastAsia" w:ascii="华文仿宋" w:hAnsi="华文仿宋" w:eastAsia="华文仿宋" w:cs="华文仿宋"/>
                <w:bCs/>
                <w:sz w:val="24"/>
              </w:rPr>
              <w:t>成果应用：成果在轨道交通、航空、风电获得示范应用及产学研用合作，实现批量化生产和产业化应用；</w:t>
            </w:r>
          </w:p>
          <w:p w14:paraId="77F10471">
            <w:pPr>
              <w:tabs>
                <w:tab w:val="left" w:pos="1794"/>
              </w:tabs>
              <w:spacing w:before="100" w:beforeAutospacing="1" w:after="100" w:afterAutospacing="1" w:line="240" w:lineRule="auto"/>
              <w:ind w:firstLine="480" w:firstLineChars="200"/>
              <w:jc w:val="left"/>
              <w:rPr>
                <w:sz w:val="24"/>
              </w:rPr>
            </w:pPr>
            <w:r>
              <w:rPr>
                <w:rFonts w:hint="eastAsia" w:ascii="华文仿宋" w:hAnsi="华文仿宋" w:eastAsia="华文仿宋" w:cs="华文仿宋"/>
                <w:bCs/>
                <w:sz w:val="24"/>
              </w:rPr>
              <w:t>社会和经济效益：新增销售额≥5000万元，解决就业＞100人，相关成果落地显著增强装备制造业及其高附加值产品的国际竞争力。</w:t>
            </w:r>
          </w:p>
        </w:tc>
      </w:tr>
      <w:tr w14:paraId="52C3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7E7E07E9">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796" w:type="dxa"/>
            <w:vAlign w:val="center"/>
          </w:tcPr>
          <w:p w14:paraId="2A567B46">
            <w:pPr>
              <w:tabs>
                <w:tab w:val="left" w:pos="1794"/>
              </w:tabs>
              <w:spacing w:before="100" w:beforeAutospacing="1" w:after="100" w:afterAutospacing="1" w:line="240" w:lineRule="auto"/>
              <w:ind w:firstLine="480" w:firstLineChars="200"/>
              <w:jc w:val="left"/>
              <w:rPr>
                <w:rFonts w:hint="eastAsia" w:ascii="仿宋_GB2312" w:hAnsi="仿宋_GB2312" w:eastAsia="仿宋_GB2312" w:cs="仿宋_GB2312"/>
                <w:b/>
                <w:bCs/>
                <w:spacing w:val="16"/>
                <w:sz w:val="24"/>
                <w:szCs w:val="24"/>
              </w:rPr>
            </w:pPr>
            <w:r>
              <w:rPr>
                <w:rFonts w:hint="eastAsia" w:ascii="华文仿宋" w:hAnsi="华文仿宋" w:eastAsia="华文仿宋" w:cs="华文仿宋"/>
                <w:bCs/>
                <w:sz w:val="24"/>
              </w:rPr>
              <w:t>相关研究成果授权国家发明专利8项，核心专利6项，技术转让拟定金额1000万元，作价入股不少于1000万元。</w:t>
            </w:r>
          </w:p>
        </w:tc>
      </w:tr>
      <w:tr w14:paraId="0B94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664" w:type="dxa"/>
            <w:vAlign w:val="center"/>
          </w:tcPr>
          <w:p w14:paraId="442602C4">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796" w:type="dxa"/>
            <w:vAlign w:val="center"/>
          </w:tcPr>
          <w:p w14:paraId="4D0D2017">
            <w:pPr>
              <w:pStyle w:val="18"/>
              <w:spacing w:line="240" w:lineRule="auto"/>
              <w:ind w:firstLineChars="200"/>
              <w:rPr>
                <w:rFonts w:hint="eastAsia" w:ascii="仿宋_GB2312" w:hAnsi="仿宋_GB2312" w:eastAsia="仿宋_GB2312" w:cs="仿宋_GB2312"/>
                <w:b/>
                <w:bCs/>
                <w:spacing w:val="16"/>
                <w:sz w:val="24"/>
                <w:szCs w:val="24"/>
              </w:rPr>
            </w:pPr>
            <w:r>
              <w:rPr>
                <w:rFonts w:hint="eastAsia" w:ascii="华文仿宋" w:hAnsi="华文仿宋" w:eastAsia="华文仿宋" w:cs="华文仿宋"/>
                <w:bCs/>
                <w:sz w:val="24"/>
                <w:szCs w:val="20"/>
              </w:rPr>
              <w:t>在此特别申请，发榜方的科技成果在未达成转化协议前归专利人所有，科技成果转化后，进一步落实到实际产品的知识产权经双方协商共有或等价值全部转给揭榜方拥有；如在合作过程中产生的知识产权，双方协商确定其归属权。</w:t>
            </w:r>
          </w:p>
        </w:tc>
      </w:tr>
      <w:tr w14:paraId="0879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664" w:type="dxa"/>
            <w:vAlign w:val="center"/>
          </w:tcPr>
          <w:p w14:paraId="6C302C0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796" w:type="dxa"/>
            <w:vAlign w:val="center"/>
          </w:tcPr>
          <w:p w14:paraId="74D77390">
            <w:pPr>
              <w:pStyle w:val="18"/>
              <w:spacing w:line="240" w:lineRule="auto"/>
              <w:ind w:firstLineChars="200"/>
              <w:rPr>
                <w:rFonts w:hint="eastAsia" w:ascii="仿宋_GB2312" w:hAnsi="仿宋_GB2312" w:eastAsia="仿宋_GB2312" w:cs="仿宋_GB2312"/>
                <w:b/>
                <w:bCs/>
                <w:spacing w:val="16"/>
                <w:sz w:val="24"/>
                <w:szCs w:val="24"/>
              </w:rPr>
            </w:pPr>
            <w:r>
              <w:rPr>
                <w:rFonts w:hint="eastAsia" w:ascii="华文仿宋" w:hAnsi="华文仿宋" w:eastAsia="华文仿宋" w:cs="华文仿宋"/>
                <w:bCs/>
                <w:sz w:val="24"/>
                <w:szCs w:val="20"/>
              </w:rPr>
              <w:t>揭榜单位具有良好的涂料生产线、有充足的流动资金和良好的创新平台，围绕四川省重点产业布局和发展的企业优先，企业管理和经营理念先进，建有研发及生产和管理人才梯队；优先支持高新区、天府新区的高科技企业揭榜。</w:t>
            </w:r>
          </w:p>
        </w:tc>
      </w:tr>
      <w:tr w14:paraId="7566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2ED33581">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796" w:type="dxa"/>
            <w:vAlign w:val="center"/>
          </w:tcPr>
          <w:p w14:paraId="77B85374">
            <w:pPr>
              <w:pStyle w:val="18"/>
              <w:spacing w:line="240" w:lineRule="auto"/>
              <w:ind w:firstLine="0"/>
              <w:rPr>
                <w:rFonts w:hint="eastAsia" w:ascii="方正小标宋_GBK" w:hAnsi="方正小标宋_GBK" w:eastAsia="方正小标宋_GBK" w:cs="方正小标宋_GBK"/>
                <w:b/>
                <w:bCs/>
                <w:spacing w:val="16"/>
                <w:sz w:val="44"/>
                <w:szCs w:val="44"/>
              </w:rPr>
            </w:pPr>
            <w:r>
              <w:rPr>
                <w:rFonts w:hint="eastAsia" w:ascii="华文仿宋" w:hAnsi="华文仿宋" w:eastAsia="华文仿宋" w:cs="华文仿宋"/>
                <w:bCs/>
                <w:sz w:val="24"/>
                <w:szCs w:val="20"/>
              </w:rPr>
              <w:t>（西南交通大学）樊小强</w:t>
            </w:r>
            <w:r>
              <w:rPr>
                <w:rFonts w:hint="eastAsia" w:ascii="华文仿宋" w:hAnsi="华文仿宋" w:eastAsia="华文仿宋" w:cs="华文仿宋"/>
                <w:bCs/>
                <w:sz w:val="24"/>
                <w:szCs w:val="20"/>
                <w:lang w:eastAsia="zh-CN"/>
              </w:rPr>
              <w:t>：</w:t>
            </w:r>
            <w:r>
              <w:rPr>
                <w:rFonts w:hint="eastAsia" w:ascii="华文仿宋" w:hAnsi="华文仿宋" w:eastAsia="华文仿宋" w:cs="华文仿宋"/>
                <w:bCs/>
                <w:sz w:val="24"/>
                <w:szCs w:val="20"/>
              </w:rPr>
              <w:t>18780173231</w:t>
            </w:r>
          </w:p>
        </w:tc>
      </w:tr>
    </w:tbl>
    <w:p w14:paraId="75B6347E">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EA6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E6BDA">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7E6BDA">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WM3ODU5YThlYjA2OWFhZmViNmRhNTI1ODk0MzgifQ=="/>
  </w:docVars>
  <w:rsids>
    <w:rsidRoot w:val="FF3F3F32"/>
    <w:rsid w:val="00011BC8"/>
    <w:rsid w:val="0006183C"/>
    <w:rsid w:val="00091345"/>
    <w:rsid w:val="000B5BE8"/>
    <w:rsid w:val="001113BD"/>
    <w:rsid w:val="00122A93"/>
    <w:rsid w:val="001448C1"/>
    <w:rsid w:val="00145FA2"/>
    <w:rsid w:val="001B29C9"/>
    <w:rsid w:val="001C048E"/>
    <w:rsid w:val="00293F31"/>
    <w:rsid w:val="002A43B1"/>
    <w:rsid w:val="002F363A"/>
    <w:rsid w:val="003F03D6"/>
    <w:rsid w:val="003F610F"/>
    <w:rsid w:val="004100D2"/>
    <w:rsid w:val="00447B6E"/>
    <w:rsid w:val="0045005B"/>
    <w:rsid w:val="00467454"/>
    <w:rsid w:val="00497D34"/>
    <w:rsid w:val="004B1AD4"/>
    <w:rsid w:val="004E0863"/>
    <w:rsid w:val="00550679"/>
    <w:rsid w:val="00584968"/>
    <w:rsid w:val="005D5016"/>
    <w:rsid w:val="005E2AC4"/>
    <w:rsid w:val="006923A0"/>
    <w:rsid w:val="006B68BB"/>
    <w:rsid w:val="00704863"/>
    <w:rsid w:val="00777F55"/>
    <w:rsid w:val="007A598E"/>
    <w:rsid w:val="007C0F2D"/>
    <w:rsid w:val="007E4979"/>
    <w:rsid w:val="00807FF9"/>
    <w:rsid w:val="00824069"/>
    <w:rsid w:val="0083050D"/>
    <w:rsid w:val="0084107A"/>
    <w:rsid w:val="00843924"/>
    <w:rsid w:val="0087052A"/>
    <w:rsid w:val="00885B23"/>
    <w:rsid w:val="008942B3"/>
    <w:rsid w:val="00895F55"/>
    <w:rsid w:val="009120AB"/>
    <w:rsid w:val="00923640"/>
    <w:rsid w:val="00987949"/>
    <w:rsid w:val="009E10F1"/>
    <w:rsid w:val="00A07321"/>
    <w:rsid w:val="00A32991"/>
    <w:rsid w:val="00A73DA4"/>
    <w:rsid w:val="00A849C7"/>
    <w:rsid w:val="00AC07A4"/>
    <w:rsid w:val="00C34259"/>
    <w:rsid w:val="00C742BA"/>
    <w:rsid w:val="00C9700F"/>
    <w:rsid w:val="00CA0CD3"/>
    <w:rsid w:val="00CF7BDE"/>
    <w:rsid w:val="00D009DF"/>
    <w:rsid w:val="00D1405D"/>
    <w:rsid w:val="00D77B8E"/>
    <w:rsid w:val="00DF0A18"/>
    <w:rsid w:val="00E5249D"/>
    <w:rsid w:val="00E74921"/>
    <w:rsid w:val="00EE7137"/>
    <w:rsid w:val="00F0476B"/>
    <w:rsid w:val="00F04BE2"/>
    <w:rsid w:val="00F221F6"/>
    <w:rsid w:val="00F35F05"/>
    <w:rsid w:val="00F66F62"/>
    <w:rsid w:val="011078C7"/>
    <w:rsid w:val="012670EA"/>
    <w:rsid w:val="01527E42"/>
    <w:rsid w:val="015974C0"/>
    <w:rsid w:val="01687703"/>
    <w:rsid w:val="01771D5B"/>
    <w:rsid w:val="0196601E"/>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3C464D"/>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331501"/>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5D1F78"/>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59252B"/>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91A7D"/>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0B318D"/>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4D1F91"/>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1438</Words>
  <Characters>1519</Characters>
  <Lines>11</Lines>
  <Paragraphs>3</Paragraphs>
  <TotalTime>8</TotalTime>
  <ScaleCrop>false</ScaleCrop>
  <LinksUpToDate>false</LinksUpToDate>
  <CharactersWithSpaces>1523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2025-01-23T15:06:00Z</dcterms:created>
  <dc:creator>user</dc:creator>
  <cp:lastModifiedBy>奔跑的牛肉干儿</cp:lastModifiedBy>
  <dcterms:modified xsi:type="dcterms:W3CDTF">2025-02-06T04:11:32Z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