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F6D1">
      <w:pPr>
        <w:pStyle w:val="18"/>
        <w:adjustRightInd w:val="0"/>
        <w:snapToGrid w:val="0"/>
        <w:spacing w:before="0" w:beforeAutospacing="0" w:after="0" w:afterAutospacing="0" w:line="560" w:lineRule="exact"/>
        <w:jc w:val="center"/>
        <w:rPr>
          <w:rFonts w:hint="eastAsia" w:ascii="方正小标宋_GBK" w:hAnsi="方正小标宋_GBK" w:eastAsia="方正小标宋_GBK" w:cs="方正小标宋_GBK"/>
          <w:b/>
          <w:bCs/>
          <w:spacing w:val="16"/>
          <w:sz w:val="44"/>
          <w:szCs w:val="44"/>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微软雅黑" w:hAnsi="微软雅黑" w:eastAsia="微软雅黑" w:cs="微软雅黑"/>
          <w:b/>
          <w:bCs/>
          <w:spacing w:val="16"/>
          <w:sz w:val="44"/>
          <w:szCs w:val="44"/>
        </w:rPr>
        <w:t>⑱</w:t>
      </w:r>
    </w:p>
    <w:p w14:paraId="60B98F02">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06B4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1" w:type="dxa"/>
            <w:gridSpan w:val="2"/>
            <w:vAlign w:val="center"/>
          </w:tcPr>
          <w:p w14:paraId="49B02CD2">
            <w:pPr>
              <w:pStyle w:val="18"/>
              <w:ind w:firstLine="0"/>
              <w:rPr>
                <w:rFonts w:hint="eastAsia" w:ascii="方正小标宋_GBK" w:hAnsi="方正小标宋_GBK" w:eastAsia="仿宋_GB2312" w:cs="方正小标宋_GBK"/>
                <w:b/>
                <w:bCs/>
                <w:spacing w:val="16"/>
                <w:sz w:val="44"/>
                <w:szCs w:val="44"/>
                <w:lang w:val="en-US" w:eastAsia="zh-CN"/>
              </w:rPr>
            </w:pPr>
            <w:r>
              <w:rPr>
                <w:rFonts w:hint="eastAsia" w:ascii="仿宋_GB2312" w:hAnsi="仿宋_GB2312" w:eastAsia="仿宋_GB2312" w:cs="仿宋_GB2312"/>
                <w:b/>
                <w:bCs/>
                <w:spacing w:val="16"/>
                <w:sz w:val="24"/>
                <w:szCs w:val="24"/>
              </w:rPr>
              <w:t>榜单名称：</w:t>
            </w:r>
            <w:r>
              <w:rPr>
                <w:rFonts w:hint="eastAsia" w:eastAsia="仿宋_GB2312"/>
                <w:b/>
                <w:bCs/>
                <w:sz w:val="24"/>
                <w:szCs w:val="24"/>
              </w:rPr>
              <w:t>高可靠自主可控中型复合翼无人机系统</w:t>
            </w:r>
          </w:p>
        </w:tc>
      </w:tr>
      <w:tr w14:paraId="1982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50D7FA9F">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5D7ABAE8">
            <w:pPr>
              <w:suppressAutoHyphens/>
              <w:adjustRightInd w:val="0"/>
              <w:snapToGrid w:val="0"/>
              <w:spacing w:after="0" w:line="264" w:lineRule="auto"/>
              <w:ind w:firstLine="480" w:firstLineChars="200"/>
              <w:jc w:val="left"/>
              <w:rPr>
                <w:rFonts w:eastAsia="仿宋_GB2312"/>
                <w:sz w:val="24"/>
                <w:szCs w:val="24"/>
              </w:rPr>
            </w:pPr>
            <w:r>
              <w:rPr>
                <w:rFonts w:hint="eastAsia" w:eastAsia="仿宋_GB2312"/>
                <w:sz w:val="24"/>
                <w:szCs w:val="24"/>
              </w:rPr>
              <w:t>本技术成果研制基于国产化航电飞控计算机的高可靠中型复合翼无人机系统，重点突破航电飞控计算机一体化设计技术，充分融入国产化战略，全系统核心元器件国产化率100%；实现高可靠中型复合翼无人机系统模块化设计技术，形成适于标准海陆空手段进行运输部署的中型复合翼无人机设备。</w:t>
            </w:r>
          </w:p>
          <w:p w14:paraId="48614733">
            <w:pPr>
              <w:suppressAutoHyphens/>
              <w:adjustRightInd w:val="0"/>
              <w:snapToGrid w:val="0"/>
              <w:spacing w:after="0" w:line="264" w:lineRule="auto"/>
              <w:ind w:firstLine="480" w:firstLineChars="200"/>
              <w:jc w:val="left"/>
              <w:rPr>
                <w:rFonts w:eastAsia="仿宋_GB2312"/>
                <w:sz w:val="24"/>
                <w:szCs w:val="24"/>
              </w:rPr>
            </w:pPr>
            <w:r>
              <w:rPr>
                <w:rFonts w:hint="eastAsia" w:eastAsia="仿宋_GB2312"/>
                <w:sz w:val="24"/>
                <w:szCs w:val="24"/>
              </w:rPr>
              <w:t>本技术成果处于国内领先水平，通过该成果的转化能够降低对外部供应链的依赖，减少潜在的安全风险和外部干扰；本项目研制的无人机系统有效载荷、航时、智能化程度、可靠性等核心技术指标不逊于国外同类产品；可广泛用侦察测绘、应急、巡检、测绘、安防、国防等领域，提升应急响应速度、增强灾害监测与评估能力。</w:t>
            </w:r>
          </w:p>
          <w:p w14:paraId="56F53F1A">
            <w:pPr>
              <w:suppressAutoHyphens/>
              <w:adjustRightInd w:val="0"/>
              <w:snapToGrid w:val="0"/>
              <w:spacing w:line="264" w:lineRule="auto"/>
              <w:ind w:firstLine="480" w:firstLineChars="200"/>
              <w:jc w:val="left"/>
              <w:rPr>
                <w:rFonts w:eastAsia="仿宋_GB2312"/>
                <w:sz w:val="24"/>
                <w:szCs w:val="24"/>
              </w:rPr>
            </w:pPr>
            <w:r>
              <w:rPr>
                <w:rFonts w:hint="eastAsia" w:eastAsia="仿宋_GB2312"/>
                <w:sz w:val="24"/>
                <w:szCs w:val="24"/>
              </w:rPr>
              <w:t>关键技术指标：研制起飞重量不小于90kg中型复合翼无人机系统，载荷最大不小于30kg，最大航时不小于10小时，升限不小于5000m；研制起飞重量不小于149kg中型复合翼无人机系统，最大航时不小于10小时；最大航程不小于900km，平飞抗8级风等级，最大起飞海拔不小于3500米。</w:t>
            </w:r>
          </w:p>
        </w:tc>
      </w:tr>
      <w:tr w14:paraId="7D7C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4308E2A8">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6DC6C4E3">
            <w:pPr>
              <w:suppressAutoHyphens/>
              <w:adjustRightInd w:val="0"/>
              <w:snapToGrid w:val="0"/>
              <w:spacing w:line="264" w:lineRule="auto"/>
              <w:ind w:firstLine="360" w:firstLineChars="150"/>
              <w:jc w:val="left"/>
              <w:rPr>
                <w:rFonts w:hint="eastAsia" w:ascii="仿宋_GB2312" w:hAnsi="仿宋_GB2312" w:eastAsia="仿宋_GB2312" w:cs="仿宋_GB2312"/>
                <w:b/>
                <w:bCs/>
                <w:spacing w:val="16"/>
                <w:sz w:val="24"/>
                <w:szCs w:val="24"/>
              </w:rPr>
            </w:pPr>
            <w:r>
              <w:rPr>
                <w:rFonts w:hint="eastAsia" w:eastAsia="仿宋_GB2312"/>
                <w:sz w:val="24"/>
                <w:szCs w:val="24"/>
              </w:rPr>
              <w:t>垂直起降固定翼无人机是当前国内外主力发展的一种无人机构型，中型复合翼无人机结合了固定翼无人机的长航时、大航程优势和旋翼无人机的垂直起降、悬停灵活性，能够在无需专用跑道的情况下快速部署，适用于城市、山区、海上平台等复杂地形，能极大地满足各类任务需求。中型复合翼无人机系统具备一机多用，可挂载多元任务载荷，执行侦察测绘、应急、巡检、测绘、安防等多类型任务，广泛应用于军民两用领域。同时与进口飞控集成设备相比，国产化飞控集成设备可以提供更经济实惠的解决方案，并能够更好地适应自研中型复合翼无人机的操作需求，提升国内产业链的自主可控能力。</w:t>
            </w:r>
          </w:p>
        </w:tc>
      </w:tr>
      <w:tr w14:paraId="7398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1D1EBD58">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5C758800">
            <w:pPr>
              <w:suppressAutoHyphens/>
              <w:adjustRightInd w:val="0"/>
              <w:snapToGrid w:val="0"/>
              <w:spacing w:line="264" w:lineRule="auto"/>
              <w:jc w:val="left"/>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技术指标：</w:t>
            </w:r>
          </w:p>
          <w:p w14:paraId="23EF448A">
            <w:pPr>
              <w:pStyle w:val="18"/>
              <w:adjustRightInd w:val="0"/>
              <w:snapToGrid w:val="0"/>
              <w:spacing w:line="240" w:lineRule="auto"/>
              <w:ind w:firstLine="0"/>
              <w:rPr>
                <w:rFonts w:eastAsia="仿宋_GB2312"/>
                <w:sz w:val="24"/>
              </w:rPr>
            </w:pPr>
            <w:r>
              <w:rPr>
                <w:rFonts w:hint="eastAsia" w:eastAsia="仿宋_GB2312"/>
                <w:sz w:val="24"/>
              </w:rPr>
              <w:t>1、起飞重量不小于90kg中型复合翼无人机系统指标：</w:t>
            </w:r>
          </w:p>
          <w:p w14:paraId="2D252220">
            <w:pPr>
              <w:pStyle w:val="18"/>
              <w:numPr>
                <w:ilvl w:val="0"/>
                <w:numId w:val="1"/>
              </w:numPr>
              <w:adjustRightInd w:val="0"/>
              <w:snapToGrid w:val="0"/>
              <w:spacing w:line="240" w:lineRule="auto"/>
              <w:rPr>
                <w:rFonts w:eastAsia="仿宋_GB2312"/>
                <w:sz w:val="24"/>
              </w:rPr>
            </w:pPr>
            <w:r>
              <w:rPr>
                <w:rFonts w:hint="eastAsia" w:eastAsia="仿宋_GB2312"/>
                <w:sz w:val="24"/>
              </w:rPr>
              <w:t>起降采用四旋翼，平飞采用固定翼；</w:t>
            </w:r>
          </w:p>
          <w:p w14:paraId="049ADDC0">
            <w:pPr>
              <w:pStyle w:val="18"/>
              <w:numPr>
                <w:ilvl w:val="0"/>
                <w:numId w:val="1"/>
              </w:numPr>
              <w:adjustRightInd w:val="0"/>
              <w:snapToGrid w:val="0"/>
              <w:spacing w:line="240" w:lineRule="auto"/>
              <w:rPr>
                <w:rFonts w:eastAsia="仿宋_GB2312"/>
                <w:sz w:val="24"/>
              </w:rPr>
            </w:pPr>
            <w:r>
              <w:rPr>
                <w:rFonts w:hint="eastAsia" w:eastAsia="仿宋_GB2312"/>
                <w:sz w:val="24"/>
              </w:rPr>
              <w:t>最大载荷重量：30kg；</w:t>
            </w:r>
          </w:p>
          <w:p w14:paraId="4439C419">
            <w:pPr>
              <w:pStyle w:val="18"/>
              <w:numPr>
                <w:ilvl w:val="0"/>
                <w:numId w:val="1"/>
              </w:numPr>
              <w:adjustRightInd w:val="0"/>
              <w:snapToGrid w:val="0"/>
              <w:spacing w:line="240" w:lineRule="auto"/>
              <w:rPr>
                <w:rFonts w:eastAsia="仿宋_GB2312"/>
                <w:sz w:val="24"/>
              </w:rPr>
            </w:pPr>
            <w:r>
              <w:rPr>
                <w:rFonts w:hint="eastAsia" w:eastAsia="仿宋_GB2312"/>
                <w:sz w:val="24"/>
              </w:rPr>
              <w:t>最大航时：10h；</w:t>
            </w:r>
          </w:p>
          <w:p w14:paraId="7724D982">
            <w:pPr>
              <w:pStyle w:val="18"/>
              <w:numPr>
                <w:ilvl w:val="0"/>
                <w:numId w:val="1"/>
              </w:numPr>
              <w:adjustRightInd w:val="0"/>
              <w:snapToGrid w:val="0"/>
              <w:spacing w:line="240" w:lineRule="auto"/>
              <w:rPr>
                <w:rFonts w:eastAsia="仿宋_GB2312"/>
                <w:sz w:val="24"/>
              </w:rPr>
            </w:pPr>
            <w:r>
              <w:rPr>
                <w:rFonts w:hint="eastAsia" w:eastAsia="仿宋_GB2312"/>
                <w:sz w:val="24"/>
              </w:rPr>
              <w:t>巡航速度范围：90~140km/h；</w:t>
            </w:r>
          </w:p>
          <w:p w14:paraId="5BB935AE">
            <w:pPr>
              <w:pStyle w:val="18"/>
              <w:numPr>
                <w:ilvl w:val="0"/>
                <w:numId w:val="1"/>
              </w:numPr>
              <w:adjustRightInd w:val="0"/>
              <w:snapToGrid w:val="0"/>
              <w:spacing w:line="240" w:lineRule="auto"/>
              <w:rPr>
                <w:rFonts w:eastAsia="仿宋_GB2312"/>
                <w:sz w:val="24"/>
              </w:rPr>
            </w:pPr>
            <w:r>
              <w:rPr>
                <w:rFonts w:hint="eastAsia" w:eastAsia="仿宋_GB2312"/>
                <w:sz w:val="24"/>
              </w:rPr>
              <w:t>平飞抗风等级：8级；</w:t>
            </w:r>
          </w:p>
          <w:p w14:paraId="6B4D2BF3">
            <w:pPr>
              <w:pStyle w:val="18"/>
              <w:numPr>
                <w:ilvl w:val="0"/>
                <w:numId w:val="1"/>
              </w:numPr>
              <w:adjustRightInd w:val="0"/>
              <w:snapToGrid w:val="0"/>
              <w:spacing w:line="240" w:lineRule="auto"/>
              <w:rPr>
                <w:rFonts w:eastAsia="仿宋_GB2312"/>
                <w:sz w:val="24"/>
              </w:rPr>
            </w:pPr>
            <w:r>
              <w:rPr>
                <w:rFonts w:hint="eastAsia" w:eastAsia="仿宋_GB2312"/>
                <w:sz w:val="24"/>
              </w:rPr>
              <w:t>最大起降海拔：3500m；</w:t>
            </w:r>
          </w:p>
          <w:p w14:paraId="0A9BFE05">
            <w:pPr>
              <w:pStyle w:val="18"/>
              <w:numPr>
                <w:ilvl w:val="0"/>
                <w:numId w:val="1"/>
              </w:numPr>
              <w:adjustRightInd w:val="0"/>
              <w:snapToGrid w:val="0"/>
              <w:spacing w:line="240" w:lineRule="auto"/>
              <w:rPr>
                <w:rFonts w:eastAsia="仿宋_GB2312"/>
                <w:sz w:val="24"/>
              </w:rPr>
            </w:pPr>
            <w:r>
              <w:rPr>
                <w:rFonts w:hint="eastAsia" w:eastAsia="仿宋_GB2312"/>
                <w:sz w:val="24"/>
              </w:rPr>
              <w:t>最大飞行升限：5000m；</w:t>
            </w:r>
          </w:p>
          <w:p w14:paraId="1D6CB94B">
            <w:pPr>
              <w:pStyle w:val="18"/>
              <w:numPr>
                <w:ilvl w:val="0"/>
                <w:numId w:val="1"/>
              </w:numPr>
              <w:adjustRightInd w:val="0"/>
              <w:snapToGrid w:val="0"/>
              <w:spacing w:line="240" w:lineRule="auto"/>
              <w:rPr>
                <w:rFonts w:eastAsia="仿宋_GB2312"/>
                <w:sz w:val="24"/>
              </w:rPr>
            </w:pPr>
            <w:r>
              <w:rPr>
                <w:rFonts w:hint="eastAsia" w:eastAsia="仿宋_GB2312"/>
                <w:sz w:val="24"/>
              </w:rPr>
              <w:t>任务前准备时间：30min；</w:t>
            </w:r>
          </w:p>
          <w:p w14:paraId="6F0D43EA">
            <w:pPr>
              <w:pStyle w:val="18"/>
              <w:numPr>
                <w:ilvl w:val="0"/>
                <w:numId w:val="1"/>
              </w:numPr>
              <w:adjustRightInd w:val="0"/>
              <w:snapToGrid w:val="0"/>
              <w:spacing w:line="240" w:lineRule="auto"/>
              <w:rPr>
                <w:rFonts w:eastAsia="仿宋_GB2312"/>
                <w:sz w:val="24"/>
              </w:rPr>
            </w:pPr>
            <w:r>
              <w:rPr>
                <w:rFonts w:hint="eastAsia" w:eastAsia="仿宋_GB2312"/>
                <w:sz w:val="24"/>
              </w:rPr>
              <w:t>可在10m*10m区域完成起降；在飞行过程中，可设置不小于12条备降航线；</w:t>
            </w:r>
          </w:p>
          <w:p w14:paraId="6AF367C2">
            <w:pPr>
              <w:pStyle w:val="18"/>
              <w:numPr>
                <w:ilvl w:val="0"/>
                <w:numId w:val="1"/>
              </w:numPr>
              <w:adjustRightInd w:val="0"/>
              <w:snapToGrid w:val="0"/>
              <w:spacing w:line="240" w:lineRule="auto"/>
              <w:rPr>
                <w:rFonts w:eastAsia="仿宋_GB2312"/>
                <w:sz w:val="24"/>
              </w:rPr>
            </w:pPr>
            <w:r>
              <w:rPr>
                <w:rFonts w:hint="eastAsia" w:eastAsia="仿宋_GB2312"/>
                <w:sz w:val="24"/>
              </w:rPr>
              <w:t>对目标定位精度不大于2.5m(CEP)@500m斜距。</w:t>
            </w:r>
          </w:p>
          <w:p w14:paraId="16E07225">
            <w:pPr>
              <w:pStyle w:val="18"/>
              <w:adjustRightInd w:val="0"/>
              <w:snapToGrid w:val="0"/>
              <w:spacing w:line="240" w:lineRule="auto"/>
              <w:ind w:firstLine="0"/>
              <w:rPr>
                <w:rFonts w:eastAsia="仿宋_GB2312"/>
                <w:sz w:val="24"/>
              </w:rPr>
            </w:pPr>
            <w:r>
              <w:rPr>
                <w:rFonts w:hint="eastAsia" w:eastAsia="仿宋_GB2312"/>
                <w:sz w:val="24"/>
              </w:rPr>
              <w:t>2、起飞重量不小于149kg中型复合翼无人机系统：</w:t>
            </w:r>
          </w:p>
          <w:p w14:paraId="3B87A1E0">
            <w:pPr>
              <w:pStyle w:val="18"/>
              <w:numPr>
                <w:ilvl w:val="0"/>
                <w:numId w:val="1"/>
              </w:numPr>
              <w:adjustRightInd w:val="0"/>
              <w:snapToGrid w:val="0"/>
              <w:spacing w:line="240" w:lineRule="auto"/>
              <w:rPr>
                <w:rFonts w:eastAsia="仿宋_GB2312"/>
                <w:sz w:val="24"/>
              </w:rPr>
            </w:pPr>
            <w:r>
              <w:rPr>
                <w:rFonts w:hint="eastAsia" w:eastAsia="仿宋_GB2312"/>
                <w:sz w:val="24"/>
              </w:rPr>
              <w:t>起降采用四轴八桨多旋翼，平飞采用固定翼；</w:t>
            </w:r>
          </w:p>
          <w:p w14:paraId="5D59DD33">
            <w:pPr>
              <w:pStyle w:val="18"/>
              <w:numPr>
                <w:ilvl w:val="0"/>
                <w:numId w:val="1"/>
              </w:numPr>
              <w:adjustRightInd w:val="0"/>
              <w:snapToGrid w:val="0"/>
              <w:spacing w:line="240" w:lineRule="auto"/>
              <w:rPr>
                <w:rFonts w:eastAsia="仿宋_GB2312"/>
                <w:sz w:val="24"/>
              </w:rPr>
            </w:pPr>
            <w:r>
              <w:rPr>
                <w:rFonts w:hint="eastAsia" w:eastAsia="仿宋_GB2312"/>
                <w:sz w:val="24"/>
              </w:rPr>
              <w:t>最大载荷重量：45kg；</w:t>
            </w:r>
          </w:p>
          <w:p w14:paraId="5B87CAA9">
            <w:pPr>
              <w:pStyle w:val="18"/>
              <w:numPr>
                <w:ilvl w:val="0"/>
                <w:numId w:val="1"/>
              </w:numPr>
              <w:adjustRightInd w:val="0"/>
              <w:snapToGrid w:val="0"/>
              <w:spacing w:line="240" w:lineRule="auto"/>
              <w:rPr>
                <w:rFonts w:eastAsia="仿宋_GB2312"/>
                <w:sz w:val="24"/>
              </w:rPr>
            </w:pPr>
            <w:r>
              <w:rPr>
                <w:rFonts w:hint="eastAsia" w:eastAsia="仿宋_GB2312"/>
                <w:sz w:val="24"/>
              </w:rPr>
              <w:t>最大航时：10h；</w:t>
            </w:r>
          </w:p>
          <w:p w14:paraId="0376AD22">
            <w:pPr>
              <w:pStyle w:val="18"/>
              <w:numPr>
                <w:ilvl w:val="0"/>
                <w:numId w:val="1"/>
              </w:numPr>
              <w:adjustRightInd w:val="0"/>
              <w:snapToGrid w:val="0"/>
              <w:spacing w:line="240" w:lineRule="auto"/>
              <w:rPr>
                <w:rFonts w:eastAsia="仿宋_GB2312"/>
                <w:sz w:val="24"/>
              </w:rPr>
            </w:pPr>
            <w:r>
              <w:rPr>
                <w:rFonts w:hint="eastAsia" w:eastAsia="仿宋_GB2312"/>
                <w:sz w:val="24"/>
              </w:rPr>
              <w:t>巡航速度范围：100-155km/h；平飞抗风等级：8级；</w:t>
            </w:r>
          </w:p>
          <w:p w14:paraId="7ADCAEDD">
            <w:pPr>
              <w:pStyle w:val="18"/>
              <w:numPr>
                <w:ilvl w:val="0"/>
                <w:numId w:val="1"/>
              </w:numPr>
              <w:adjustRightInd w:val="0"/>
              <w:snapToGrid w:val="0"/>
              <w:spacing w:line="240" w:lineRule="auto"/>
              <w:rPr>
                <w:rFonts w:eastAsia="仿宋_GB2312"/>
                <w:sz w:val="24"/>
              </w:rPr>
            </w:pPr>
            <w:r>
              <w:rPr>
                <w:rFonts w:hint="eastAsia" w:eastAsia="仿宋_GB2312"/>
                <w:sz w:val="24"/>
              </w:rPr>
              <w:t>最大起飞海拔：3500m；</w:t>
            </w:r>
          </w:p>
          <w:p w14:paraId="7F2D595B">
            <w:pPr>
              <w:pStyle w:val="18"/>
              <w:numPr>
                <w:ilvl w:val="0"/>
                <w:numId w:val="1"/>
              </w:numPr>
              <w:adjustRightInd w:val="0"/>
              <w:snapToGrid w:val="0"/>
              <w:spacing w:line="240" w:lineRule="auto"/>
              <w:rPr>
                <w:rFonts w:eastAsia="仿宋_GB2312"/>
                <w:sz w:val="24"/>
              </w:rPr>
            </w:pPr>
            <w:r>
              <w:rPr>
                <w:rFonts w:hint="eastAsia" w:eastAsia="仿宋_GB2312"/>
                <w:sz w:val="24"/>
              </w:rPr>
              <w:t>实用升限：5000m；</w:t>
            </w:r>
          </w:p>
          <w:p w14:paraId="09C9E8AE">
            <w:pPr>
              <w:pStyle w:val="18"/>
              <w:numPr>
                <w:ilvl w:val="0"/>
                <w:numId w:val="1"/>
              </w:numPr>
              <w:adjustRightInd w:val="0"/>
              <w:snapToGrid w:val="0"/>
              <w:spacing w:line="240" w:lineRule="auto"/>
              <w:rPr>
                <w:rFonts w:eastAsia="仿宋_GB2312"/>
                <w:sz w:val="24"/>
              </w:rPr>
            </w:pPr>
            <w:r>
              <w:rPr>
                <w:rFonts w:hint="eastAsia" w:eastAsia="仿宋_GB2312"/>
                <w:sz w:val="24"/>
              </w:rPr>
              <w:t>任务前准备时间：30min；</w:t>
            </w:r>
          </w:p>
          <w:p w14:paraId="21F00EFD">
            <w:pPr>
              <w:pStyle w:val="18"/>
              <w:numPr>
                <w:ilvl w:val="0"/>
                <w:numId w:val="1"/>
              </w:numPr>
              <w:adjustRightInd w:val="0"/>
              <w:snapToGrid w:val="0"/>
              <w:spacing w:line="240" w:lineRule="auto"/>
              <w:rPr>
                <w:rFonts w:eastAsia="仿宋_GB2312"/>
                <w:sz w:val="24"/>
              </w:rPr>
            </w:pPr>
            <w:r>
              <w:rPr>
                <w:rFonts w:hint="eastAsia" w:eastAsia="仿宋_GB2312"/>
                <w:sz w:val="24"/>
              </w:rPr>
              <w:t>可在10m*10m区域完成起降；在飞行过程中，可设置不小于12条备降航线；</w:t>
            </w:r>
          </w:p>
          <w:p w14:paraId="117BC718">
            <w:pPr>
              <w:pStyle w:val="18"/>
              <w:numPr>
                <w:ilvl w:val="0"/>
                <w:numId w:val="1"/>
              </w:numPr>
              <w:adjustRightInd w:val="0"/>
              <w:snapToGrid w:val="0"/>
              <w:spacing w:line="240" w:lineRule="auto"/>
              <w:rPr>
                <w:rFonts w:eastAsia="仿宋_GB2312"/>
                <w:sz w:val="24"/>
              </w:rPr>
            </w:pPr>
            <w:r>
              <w:rPr>
                <w:rFonts w:hint="eastAsia" w:eastAsia="仿宋_GB2312"/>
                <w:sz w:val="24"/>
              </w:rPr>
              <w:t>对目标定位精度不大于2.5m(CEP)@500m斜距。</w:t>
            </w:r>
          </w:p>
          <w:p w14:paraId="5491ACA0">
            <w:pPr>
              <w:tabs>
                <w:tab w:val="left" w:pos="1794"/>
              </w:tabs>
              <w:jc w:val="left"/>
              <w:rPr>
                <w:rFonts w:hint="eastAsia" w:ascii="仿宋_GB2312" w:hAnsi="仿宋_GB2312" w:eastAsia="仿宋_GB2312" w:cs="仿宋_GB2312"/>
                <w:b/>
                <w:bCs/>
                <w:spacing w:val="16"/>
                <w:sz w:val="24"/>
                <w:szCs w:val="24"/>
              </w:rPr>
            </w:pPr>
            <w:r>
              <w:rPr>
                <w:rFonts w:hint="eastAsia" w:eastAsia="仿宋_GB2312"/>
                <w:b/>
                <w:bCs/>
                <w:snapToGrid w:val="0"/>
                <w:sz w:val="24"/>
              </w:rPr>
              <w:t>其它指标：</w:t>
            </w:r>
            <w:r>
              <w:rPr>
                <w:rFonts w:hint="eastAsia" w:eastAsia="仿宋_GB2312"/>
                <w:snapToGrid w:val="0"/>
                <w:sz w:val="24"/>
              </w:rPr>
              <w:t>培养硕士或博士研究生毕业不少于3人；申请或获得授权国家发明专利不少于2项；技术成果</w:t>
            </w:r>
            <w:r>
              <w:rPr>
                <w:rFonts w:hint="eastAsia" w:eastAsia="仿宋_GB2312"/>
                <w:snapToGrid w:val="0"/>
                <w:kern w:val="0"/>
                <w:sz w:val="24"/>
              </w:rPr>
              <w:t>转化后销售收入不少于2</w:t>
            </w:r>
            <w:r>
              <w:rPr>
                <w:rFonts w:eastAsia="仿宋_GB2312"/>
                <w:snapToGrid w:val="0"/>
                <w:kern w:val="0"/>
                <w:sz w:val="24"/>
              </w:rPr>
              <w:t>亿元</w:t>
            </w:r>
            <w:r>
              <w:rPr>
                <w:rFonts w:hint="eastAsia" w:eastAsia="仿宋_GB2312"/>
                <w:snapToGrid w:val="0"/>
                <w:kern w:val="0"/>
                <w:sz w:val="24"/>
              </w:rPr>
              <w:t>。</w:t>
            </w:r>
          </w:p>
        </w:tc>
      </w:tr>
      <w:tr w14:paraId="59AE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33BC79DD">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55F957EC">
            <w:pPr>
              <w:pStyle w:val="18"/>
              <w:spacing w:line="240" w:lineRule="auto"/>
              <w:ind w:firstLine="0"/>
              <w:rPr>
                <w:rFonts w:hint="eastAsia" w:ascii="方正小标宋_GBK" w:hAnsi="方正小标宋_GBK" w:eastAsia="方正小标宋_GBK" w:cs="方正小标宋_GBK"/>
                <w:b/>
                <w:bCs/>
                <w:spacing w:val="16"/>
                <w:sz w:val="44"/>
                <w:szCs w:val="44"/>
              </w:rPr>
            </w:pPr>
            <w:r>
              <w:rPr>
                <w:rFonts w:hint="eastAsia" w:eastAsia="仿宋_GB2312"/>
                <w:sz w:val="24"/>
              </w:rPr>
              <w:t>项目总投入不低于3000万元，技术许可经费不少于100万元。</w:t>
            </w:r>
          </w:p>
        </w:tc>
      </w:tr>
      <w:tr w14:paraId="7C44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22586882">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13BE07F5">
            <w:pPr>
              <w:pStyle w:val="18"/>
              <w:spacing w:line="240" w:lineRule="auto"/>
              <w:ind w:firstLineChars="200"/>
              <w:rPr>
                <w:rFonts w:hint="eastAsia" w:ascii="仿宋_GB2312" w:hAnsi="仿宋_GB2312" w:eastAsia="仿宋_GB2312" w:cs="仿宋_GB2312"/>
                <w:b/>
                <w:bCs/>
                <w:spacing w:val="16"/>
                <w:sz w:val="24"/>
                <w:szCs w:val="24"/>
              </w:rPr>
            </w:pPr>
            <w:r>
              <w:rPr>
                <w:rFonts w:hint="eastAsia" w:eastAsia="仿宋_GB2312"/>
                <w:sz w:val="24"/>
              </w:rPr>
              <w:t>发榜方提供相关授权专利的全套技术文件，并持续为揭榜方提供技术服务，与揭榜方紧密合作，全面保障产品的研制任务；揭榜方提供研发场地，提供外场实验条件，项目经费足额筹措并建立转账，确保技术成果转化顺利实施；项目共同研发和转化过程形成的技术成果和知识产权归双方共同所有。</w:t>
            </w:r>
          </w:p>
        </w:tc>
      </w:tr>
      <w:tr w14:paraId="1903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58FBE106">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2C3071B2">
            <w:pPr>
              <w:pStyle w:val="18"/>
              <w:spacing w:line="240" w:lineRule="auto"/>
              <w:ind w:firstLineChars="200"/>
              <w:rPr>
                <w:rFonts w:eastAsia="仿宋_GB2312"/>
                <w:sz w:val="24"/>
              </w:rPr>
            </w:pPr>
            <w:r>
              <w:rPr>
                <w:rFonts w:hint="eastAsia" w:eastAsia="仿宋_GB2312"/>
                <w:sz w:val="24"/>
              </w:rPr>
              <w:t>本项目分三个阶段实施：2025年1月至2025年12月，完成实验验证样机的研制；2026年1月至2026年12月，样机小批量生产，对样机进行测试、迭代、更新；2027年1月至2027年12月，完成技术转化，形成量产产品，总销售收入不低于2亿元，完成本项目的技术成果转化。</w:t>
            </w:r>
          </w:p>
          <w:p w14:paraId="5986875D">
            <w:pPr>
              <w:pStyle w:val="18"/>
              <w:spacing w:line="240" w:lineRule="auto"/>
              <w:ind w:firstLineChars="200"/>
              <w:rPr>
                <w:rFonts w:hint="eastAsia" w:ascii="仿宋_GB2312" w:hAnsi="仿宋_GB2312" w:eastAsia="仿宋_GB2312" w:cs="仿宋_GB2312"/>
                <w:b/>
                <w:bCs/>
                <w:spacing w:val="16"/>
                <w:sz w:val="24"/>
                <w:szCs w:val="24"/>
              </w:rPr>
            </w:pPr>
            <w:r>
              <w:rPr>
                <w:rFonts w:hint="eastAsia" w:eastAsia="仿宋_GB2312"/>
                <w:sz w:val="24"/>
              </w:rPr>
              <w:t>揭榜方需为省级专精特新中小企业和成都市工业无人机产业链链主企业，并获得ISO质量、环境、职业健康管理体系认证证书；项目负责人具备博士学历和符合《成都市人才分类目录》中科技创新类C类及以上人才标准的专业技术人才。</w:t>
            </w:r>
          </w:p>
        </w:tc>
      </w:tr>
      <w:tr w14:paraId="7363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451497DF">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42132446">
            <w:pPr>
              <w:pStyle w:val="18"/>
              <w:spacing w:line="240" w:lineRule="auto"/>
              <w:ind w:firstLine="0"/>
              <w:rPr>
                <w:rFonts w:hint="eastAsia" w:ascii="方正小标宋_GBK" w:hAnsi="方正小标宋_GBK" w:eastAsia="方正小标宋_GBK" w:cs="方正小标宋_GBK"/>
                <w:b/>
                <w:bCs/>
                <w:spacing w:val="16"/>
                <w:sz w:val="44"/>
                <w:szCs w:val="44"/>
              </w:rPr>
            </w:pPr>
            <w:r>
              <w:rPr>
                <w:rFonts w:hint="eastAsia" w:eastAsia="仿宋_GB2312"/>
                <w:sz w:val="24"/>
              </w:rPr>
              <w:t>（电子科技大学）王坚，13880639846</w:t>
            </w:r>
          </w:p>
        </w:tc>
      </w:tr>
    </w:tbl>
    <w:p w14:paraId="453CE896">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F4B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3352">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963352">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53494"/>
    <w:multiLevelType w:val="singleLevel"/>
    <w:tmpl w:val="A275349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d542e715-5b50-4128-af00-c9d9e3fbe441"/>
  </w:docVars>
  <w:rsids>
    <w:rsidRoot w:val="FF3F3F32"/>
    <w:rsid w:val="00006C04"/>
    <w:rsid w:val="00011BC8"/>
    <w:rsid w:val="0006183C"/>
    <w:rsid w:val="00091345"/>
    <w:rsid w:val="001113BD"/>
    <w:rsid w:val="00122A93"/>
    <w:rsid w:val="001448C1"/>
    <w:rsid w:val="00145FA2"/>
    <w:rsid w:val="001C048E"/>
    <w:rsid w:val="00293F31"/>
    <w:rsid w:val="003F03D6"/>
    <w:rsid w:val="003F610F"/>
    <w:rsid w:val="004100D2"/>
    <w:rsid w:val="00447B6E"/>
    <w:rsid w:val="0045005B"/>
    <w:rsid w:val="00467454"/>
    <w:rsid w:val="00497D34"/>
    <w:rsid w:val="004E0863"/>
    <w:rsid w:val="00550679"/>
    <w:rsid w:val="005B1606"/>
    <w:rsid w:val="005C0A4E"/>
    <w:rsid w:val="005D5016"/>
    <w:rsid w:val="005E2AC4"/>
    <w:rsid w:val="006923A0"/>
    <w:rsid w:val="006B68BB"/>
    <w:rsid w:val="00704863"/>
    <w:rsid w:val="00777F55"/>
    <w:rsid w:val="007A598E"/>
    <w:rsid w:val="007C0F2D"/>
    <w:rsid w:val="007E4979"/>
    <w:rsid w:val="00807FF9"/>
    <w:rsid w:val="00824069"/>
    <w:rsid w:val="0083050D"/>
    <w:rsid w:val="0084107A"/>
    <w:rsid w:val="0087052A"/>
    <w:rsid w:val="00885B23"/>
    <w:rsid w:val="008942B3"/>
    <w:rsid w:val="00895F55"/>
    <w:rsid w:val="009120AB"/>
    <w:rsid w:val="00923640"/>
    <w:rsid w:val="00940EC7"/>
    <w:rsid w:val="00A07321"/>
    <w:rsid w:val="00A73DA4"/>
    <w:rsid w:val="00A849C7"/>
    <w:rsid w:val="00AC07A4"/>
    <w:rsid w:val="00C742BA"/>
    <w:rsid w:val="00C9700F"/>
    <w:rsid w:val="00CF7BDE"/>
    <w:rsid w:val="00D009DF"/>
    <w:rsid w:val="00D1405D"/>
    <w:rsid w:val="00D77B8E"/>
    <w:rsid w:val="00DF0A18"/>
    <w:rsid w:val="00E5249D"/>
    <w:rsid w:val="00EE7137"/>
    <w:rsid w:val="00EF64DF"/>
    <w:rsid w:val="00F0476B"/>
    <w:rsid w:val="00F04BE2"/>
    <w:rsid w:val="00F14F66"/>
    <w:rsid w:val="00F221F6"/>
    <w:rsid w:val="00F35F05"/>
    <w:rsid w:val="011078C7"/>
    <w:rsid w:val="012670EA"/>
    <w:rsid w:val="01527E42"/>
    <w:rsid w:val="015974C0"/>
    <w:rsid w:val="01687703"/>
    <w:rsid w:val="01771D5B"/>
    <w:rsid w:val="0196601E"/>
    <w:rsid w:val="01BD7E14"/>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586566"/>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BF168E"/>
    <w:rsid w:val="12DB7D35"/>
    <w:rsid w:val="12EB6ACC"/>
    <w:rsid w:val="12F72695"/>
    <w:rsid w:val="13141499"/>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82334C"/>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0B3EDB"/>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9CF70F6"/>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93123B"/>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9D55A9"/>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9F8091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01EB9"/>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17C36"/>
    <w:rsid w:val="43D321DE"/>
    <w:rsid w:val="44125CE6"/>
    <w:rsid w:val="44332C7D"/>
    <w:rsid w:val="449F47B6"/>
    <w:rsid w:val="44B518E4"/>
    <w:rsid w:val="44DE52DF"/>
    <w:rsid w:val="44EA642C"/>
    <w:rsid w:val="451505D5"/>
    <w:rsid w:val="452A1653"/>
    <w:rsid w:val="45BF6F05"/>
    <w:rsid w:val="45C83899"/>
    <w:rsid w:val="45CC3389"/>
    <w:rsid w:val="45DE0EDF"/>
    <w:rsid w:val="45F855C0"/>
    <w:rsid w:val="46207231"/>
    <w:rsid w:val="46252B46"/>
    <w:rsid w:val="46602DF5"/>
    <w:rsid w:val="46690BD8"/>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33A7C"/>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5437B"/>
    <w:rsid w:val="4E661EA1"/>
    <w:rsid w:val="4E6D2B88"/>
    <w:rsid w:val="4EA30C20"/>
    <w:rsid w:val="4EF120B3"/>
    <w:rsid w:val="4EFB4CDF"/>
    <w:rsid w:val="4F2A33D2"/>
    <w:rsid w:val="4F3B1580"/>
    <w:rsid w:val="4F602D94"/>
    <w:rsid w:val="4F674123"/>
    <w:rsid w:val="4FBA06F6"/>
    <w:rsid w:val="50795EBC"/>
    <w:rsid w:val="50836D3A"/>
    <w:rsid w:val="5095081C"/>
    <w:rsid w:val="50AF7B2F"/>
    <w:rsid w:val="50ED6502"/>
    <w:rsid w:val="51036FE5"/>
    <w:rsid w:val="510F0DB8"/>
    <w:rsid w:val="51475FBA"/>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BC3D6B"/>
    <w:rsid w:val="57CF2865"/>
    <w:rsid w:val="58337298"/>
    <w:rsid w:val="58676F42"/>
    <w:rsid w:val="586B6A32"/>
    <w:rsid w:val="58871392"/>
    <w:rsid w:val="58C8607A"/>
    <w:rsid w:val="58D77C23"/>
    <w:rsid w:val="591C1ADA"/>
    <w:rsid w:val="5952374E"/>
    <w:rsid w:val="59EA1BD8"/>
    <w:rsid w:val="59EA7E2A"/>
    <w:rsid w:val="59EF71EF"/>
    <w:rsid w:val="5A06312E"/>
    <w:rsid w:val="5A554802"/>
    <w:rsid w:val="5A7F4A16"/>
    <w:rsid w:val="5ADB464A"/>
    <w:rsid w:val="5B0D5B7E"/>
    <w:rsid w:val="5B4B66A7"/>
    <w:rsid w:val="5B8B2F47"/>
    <w:rsid w:val="5BB573ED"/>
    <w:rsid w:val="5C317F92"/>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394152"/>
    <w:rsid w:val="65404DA2"/>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4D194B"/>
    <w:rsid w:val="6ACD70D8"/>
    <w:rsid w:val="6AE01A85"/>
    <w:rsid w:val="6AF91C7B"/>
    <w:rsid w:val="6B0C5E52"/>
    <w:rsid w:val="6B2334C7"/>
    <w:rsid w:val="6B3D24B0"/>
    <w:rsid w:val="6B451364"/>
    <w:rsid w:val="6BC06C3D"/>
    <w:rsid w:val="6BCA6012"/>
    <w:rsid w:val="6BD3071E"/>
    <w:rsid w:val="6BE1241B"/>
    <w:rsid w:val="6C9854C4"/>
    <w:rsid w:val="6CAD5413"/>
    <w:rsid w:val="6CDF30F3"/>
    <w:rsid w:val="6D17288C"/>
    <w:rsid w:val="6D2F39FF"/>
    <w:rsid w:val="6D3B47CD"/>
    <w:rsid w:val="6D567859"/>
    <w:rsid w:val="6D800432"/>
    <w:rsid w:val="6D8841AB"/>
    <w:rsid w:val="6DE704B1"/>
    <w:rsid w:val="6DE978CF"/>
    <w:rsid w:val="6DF7366C"/>
    <w:rsid w:val="6E34236A"/>
    <w:rsid w:val="6E3C0F5B"/>
    <w:rsid w:val="6EB1286D"/>
    <w:rsid w:val="6EE42C42"/>
    <w:rsid w:val="6F274EAA"/>
    <w:rsid w:val="6F345978"/>
    <w:rsid w:val="6F54601A"/>
    <w:rsid w:val="6F871773"/>
    <w:rsid w:val="6F871F4B"/>
    <w:rsid w:val="6FD809F9"/>
    <w:rsid w:val="7012558D"/>
    <w:rsid w:val="7016507D"/>
    <w:rsid w:val="70223A22"/>
    <w:rsid w:val="70514307"/>
    <w:rsid w:val="70587444"/>
    <w:rsid w:val="706933FF"/>
    <w:rsid w:val="709240D4"/>
    <w:rsid w:val="70D80585"/>
    <w:rsid w:val="710F4C54"/>
    <w:rsid w:val="71333A0D"/>
    <w:rsid w:val="715916C6"/>
    <w:rsid w:val="7275252F"/>
    <w:rsid w:val="72900308"/>
    <w:rsid w:val="72A434DA"/>
    <w:rsid w:val="72AE3C93"/>
    <w:rsid w:val="72CF3FE8"/>
    <w:rsid w:val="72D00517"/>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CE4229A"/>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1493</Words>
  <Characters>1657</Characters>
  <Lines>12</Lines>
  <Paragraphs>3</Paragraphs>
  <TotalTime>8</TotalTime>
  <ScaleCrop>false</ScaleCrop>
  <LinksUpToDate>false</LinksUpToDate>
  <CharactersWithSpaces>1657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2025-01-23T15:06:00Z</dcterms:created>
  <dc:creator>user</dc:creator>
  <cp:lastModifiedBy>奔跑的牛肉干儿</cp:lastModifiedBy>
  <dcterms:modified xsi:type="dcterms:W3CDTF">2025-02-06T04:13:24Z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